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9EE" w:rsidRDefault="000639EE" w:rsidP="00FE6AD4">
      <w:pPr>
        <w:spacing w:after="0" w:line="360" w:lineRule="auto"/>
        <w:jc w:val="both"/>
        <w:rPr>
          <w:rFonts w:ascii="Times New Roman" w:hAnsi="Times New Roman" w:cs="Times New Roman"/>
          <w:sz w:val="24"/>
          <w:szCs w:val="24"/>
        </w:rPr>
      </w:pPr>
      <w:r w:rsidRPr="006F3487">
        <w:rPr>
          <w:rFonts w:ascii="Times New Roman" w:hAnsi="Times New Roman" w:cs="Times New Roman"/>
          <w:sz w:val="24"/>
          <w:szCs w:val="24"/>
        </w:rPr>
        <w:t xml:space="preserve">Virreynato del Río de la Plata con sus intendencias y gobiernos militares. 1810. Trazado de acuerdo a los datos históricos de la época e impreso en Buenos Aires en 1934 por Saint Hermanos. Colección Biblioteca Nacional Mariano Moreno (Argentina), recuperado de: </w:t>
      </w:r>
      <w:hyperlink r:id="rId7" w:history="1">
        <w:r w:rsidRPr="00BE5C12">
          <w:rPr>
            <w:rStyle w:val="Hipervnculo"/>
            <w:rFonts w:ascii="Times New Roman" w:hAnsi="Times New Roman" w:cs="Times New Roman"/>
            <w:sz w:val="24"/>
            <w:szCs w:val="24"/>
          </w:rPr>
          <w:t>https://catalogo.bn.gov.ar/exlibris1/apache_media/Q5LRTHYHQ74NHTF41DPBAX9STPMVV9.jpg</w:t>
        </w:r>
      </w:hyperlink>
      <w:r>
        <w:rPr>
          <w:rFonts w:ascii="Times New Roman" w:hAnsi="Times New Roman" w:cs="Times New Roman"/>
          <w:sz w:val="24"/>
          <w:szCs w:val="24"/>
        </w:rPr>
        <w:t xml:space="preserve"> </w:t>
      </w:r>
    </w:p>
    <w:p w:rsidR="006F3487" w:rsidRDefault="006F3487" w:rsidP="00FE6AD4">
      <w:pPr>
        <w:spacing w:after="0" w:line="360" w:lineRule="auto"/>
        <w:jc w:val="both"/>
        <w:rPr>
          <w:rFonts w:ascii="Times New Roman" w:hAnsi="Times New Roman" w:cs="Times New Roman"/>
          <w:sz w:val="24"/>
          <w:szCs w:val="24"/>
        </w:rPr>
      </w:pPr>
    </w:p>
    <w:p w:rsidR="000639EE" w:rsidRDefault="000639EE" w:rsidP="00FE6AD4">
      <w:pPr>
        <w:spacing w:after="0" w:line="360" w:lineRule="auto"/>
        <w:jc w:val="both"/>
        <w:rPr>
          <w:rFonts w:ascii="Times New Roman" w:hAnsi="Times New Roman" w:cs="Times New Roman"/>
          <w:sz w:val="24"/>
          <w:szCs w:val="24"/>
        </w:rPr>
      </w:pPr>
      <w:r w:rsidRPr="006F3487">
        <w:rPr>
          <w:rFonts w:ascii="Times New Roman" w:hAnsi="Times New Roman" w:cs="Times New Roman"/>
          <w:sz w:val="24"/>
          <w:szCs w:val="24"/>
        </w:rPr>
        <w:t xml:space="preserve">Town councils and military governments of the Viceroyalty of Rio de la Plata (1810) traced in accordance to the historical data of that time and printed in Buenos Aires  in 1934 by Saint Hermanos L.C. Mariano Moreno Collection National Library (Argentina) </w:t>
      </w:r>
      <w:r w:rsidR="00930D0E" w:rsidRPr="006F3487">
        <w:rPr>
          <w:rFonts w:ascii="Times New Roman" w:hAnsi="Times New Roman" w:cs="Times New Roman"/>
          <w:sz w:val="24"/>
          <w:szCs w:val="24"/>
        </w:rPr>
        <w:t>Recovered</w:t>
      </w:r>
      <w:r w:rsidR="00930D0E">
        <w:rPr>
          <w:rFonts w:ascii="Times New Roman" w:hAnsi="Times New Roman" w:cs="Times New Roman"/>
          <w:sz w:val="24"/>
          <w:szCs w:val="24"/>
        </w:rPr>
        <w:t xml:space="preserve"> from: </w:t>
      </w:r>
      <w:hyperlink r:id="rId8" w:history="1">
        <w:r w:rsidR="00930D0E" w:rsidRPr="00BE5C12">
          <w:rPr>
            <w:rStyle w:val="Hipervnculo"/>
            <w:rFonts w:ascii="Times New Roman" w:hAnsi="Times New Roman" w:cs="Times New Roman"/>
            <w:sz w:val="24"/>
            <w:szCs w:val="24"/>
          </w:rPr>
          <w:t>https://catalogo.bn.gov.ar/exlibris1/apache_media/Q5LRTHYHQ74NHTF41DPBAX9STPMVV9.jpg</w:t>
        </w:r>
      </w:hyperlink>
      <w:r w:rsidR="00930D0E">
        <w:rPr>
          <w:rFonts w:ascii="Times New Roman" w:hAnsi="Times New Roman" w:cs="Times New Roman"/>
          <w:sz w:val="24"/>
          <w:szCs w:val="24"/>
        </w:rPr>
        <w:t xml:space="preserve"> </w:t>
      </w:r>
    </w:p>
    <w:p w:rsidR="006F3487" w:rsidRDefault="006F3487" w:rsidP="00FE6AD4">
      <w:pPr>
        <w:spacing w:after="0" w:line="360" w:lineRule="auto"/>
        <w:jc w:val="both"/>
        <w:rPr>
          <w:rFonts w:ascii="Times New Roman" w:hAnsi="Times New Roman" w:cs="Times New Roman"/>
          <w:sz w:val="24"/>
          <w:szCs w:val="24"/>
        </w:rPr>
      </w:pPr>
    </w:p>
    <w:p w:rsidR="006F3487" w:rsidRPr="006F3487" w:rsidRDefault="006F3487" w:rsidP="006F3487">
      <w:pPr>
        <w:spacing w:after="0" w:line="360" w:lineRule="auto"/>
        <w:jc w:val="both"/>
        <w:rPr>
          <w:rFonts w:ascii="Times New Roman" w:hAnsi="Times New Roman" w:cs="Times New Roman"/>
          <w:sz w:val="24"/>
          <w:szCs w:val="24"/>
        </w:rPr>
      </w:pPr>
      <w:r w:rsidRPr="006F3487">
        <w:rPr>
          <w:rFonts w:ascii="Times New Roman" w:hAnsi="Times New Roman" w:cs="Times New Roman"/>
          <w:sz w:val="24"/>
          <w:szCs w:val="24"/>
        </w:rPr>
        <w:t>Vice-reinado de Río de la Plata com seus municípios e governos militares em 1810. Traçado de acordo com dados históricos da época e impresso em Buenos Aires em 1934 por Saint Hermanos S.A. Coleção da Biblioteca Nacional Mariano Moreno (Argentina). Recuperado de:</w:t>
      </w:r>
      <w:r w:rsidRPr="006F3487">
        <w:t xml:space="preserve"> </w:t>
      </w:r>
      <w:hyperlink r:id="rId9" w:history="1">
        <w:r w:rsidRPr="00BE5C12">
          <w:rPr>
            <w:rStyle w:val="Hipervnculo"/>
            <w:rFonts w:ascii="Times New Roman" w:hAnsi="Times New Roman" w:cs="Times New Roman"/>
            <w:sz w:val="24"/>
            <w:szCs w:val="24"/>
          </w:rPr>
          <w:t>https://catalogo.bn.gov.ar/exlibris1/apache_media/Q5LRTHYHQ74NHTF41DPBAX9STPMVV9.jpg</w:t>
        </w:r>
      </w:hyperlink>
      <w:r>
        <w:t xml:space="preserve"> </w:t>
      </w:r>
    </w:p>
    <w:p w:rsidR="0044484E" w:rsidRDefault="00C32120" w:rsidP="00C3212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Yésica N. García</w:t>
      </w:r>
    </w:p>
    <w:p w:rsidR="00C32120" w:rsidRDefault="00BF56BC" w:rsidP="00C3212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Departamento de Ciencias Sociales, </w:t>
      </w:r>
      <w:r w:rsidR="00C32120">
        <w:rPr>
          <w:rFonts w:ascii="Times New Roman" w:hAnsi="Times New Roman" w:cs="Times New Roman"/>
          <w:sz w:val="24"/>
          <w:szCs w:val="24"/>
        </w:rPr>
        <w:t>Universidad Nacional de Luján</w:t>
      </w:r>
      <w:r>
        <w:rPr>
          <w:rFonts w:ascii="Times New Roman" w:hAnsi="Times New Roman" w:cs="Times New Roman"/>
          <w:sz w:val="24"/>
          <w:szCs w:val="24"/>
        </w:rPr>
        <w:t>.</w:t>
      </w:r>
    </w:p>
    <w:p w:rsidR="00F56841" w:rsidRDefault="00F56841" w:rsidP="00C3212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Programa de Estudios Históricos y Antropológicos Americanos.</w:t>
      </w:r>
    </w:p>
    <w:p w:rsidR="00F56841" w:rsidRDefault="00F56841" w:rsidP="00C3212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Argentina.</w:t>
      </w:r>
    </w:p>
    <w:p w:rsidR="00930D0E" w:rsidRDefault="00930D0E" w:rsidP="00FE6A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mapa del </w:t>
      </w:r>
      <w:r w:rsidRPr="00930D0E">
        <w:rPr>
          <w:rFonts w:ascii="Times New Roman" w:hAnsi="Times New Roman" w:cs="Times New Roman"/>
          <w:i/>
          <w:sz w:val="24"/>
          <w:szCs w:val="24"/>
        </w:rPr>
        <w:t>Virreynato del Río de la Plata con sus intendencias y gobiernos militares</w:t>
      </w:r>
      <w:r>
        <w:rPr>
          <w:rFonts w:ascii="Times New Roman" w:hAnsi="Times New Roman" w:cs="Times New Roman"/>
          <w:i/>
          <w:sz w:val="24"/>
          <w:szCs w:val="24"/>
        </w:rPr>
        <w:t xml:space="preserve"> </w:t>
      </w:r>
      <w:r>
        <w:rPr>
          <w:rFonts w:ascii="Times New Roman" w:hAnsi="Times New Roman" w:cs="Times New Roman"/>
          <w:sz w:val="24"/>
          <w:szCs w:val="24"/>
        </w:rPr>
        <w:t>es parte de la colección digital de la Biblioteca Nacional Argentina Mariano Moreno. De acuerdo a los datos co</w:t>
      </w:r>
      <w:r w:rsidR="00FF0532">
        <w:rPr>
          <w:rFonts w:ascii="Times New Roman" w:hAnsi="Times New Roman" w:cs="Times New Roman"/>
          <w:sz w:val="24"/>
          <w:szCs w:val="24"/>
        </w:rPr>
        <w:t>nsignados en la descripción</w:t>
      </w:r>
      <w:r w:rsidR="00F91950">
        <w:rPr>
          <w:rFonts w:ascii="Times New Roman" w:hAnsi="Times New Roman" w:cs="Times New Roman"/>
          <w:sz w:val="24"/>
          <w:szCs w:val="24"/>
        </w:rPr>
        <w:t>,</w:t>
      </w:r>
      <w:r w:rsidR="00FF0532">
        <w:rPr>
          <w:rFonts w:ascii="Times New Roman" w:hAnsi="Times New Roman" w:cs="Times New Roman"/>
          <w:sz w:val="24"/>
          <w:szCs w:val="24"/>
        </w:rPr>
        <w:t xml:space="preserve"> se trata de un ejemplar donado por el taller</w:t>
      </w:r>
      <w:r w:rsidR="00F91950">
        <w:rPr>
          <w:rFonts w:ascii="Times New Roman" w:hAnsi="Times New Roman" w:cs="Times New Roman"/>
          <w:sz w:val="24"/>
          <w:szCs w:val="24"/>
        </w:rPr>
        <w:t xml:space="preserve"> de fotograbado</w:t>
      </w:r>
      <w:r w:rsidR="00FF0532">
        <w:rPr>
          <w:rFonts w:ascii="Times New Roman" w:hAnsi="Times New Roman" w:cs="Times New Roman"/>
          <w:sz w:val="24"/>
          <w:szCs w:val="24"/>
        </w:rPr>
        <w:t xml:space="preserve"> Saint Hermanos en </w:t>
      </w:r>
      <w:r w:rsidR="00F91950">
        <w:rPr>
          <w:rFonts w:ascii="Times New Roman" w:hAnsi="Times New Roman" w:cs="Times New Roman"/>
          <w:sz w:val="24"/>
          <w:szCs w:val="24"/>
        </w:rPr>
        <w:t xml:space="preserve">el año </w:t>
      </w:r>
      <w:r w:rsidR="00FF0532">
        <w:rPr>
          <w:rFonts w:ascii="Times New Roman" w:hAnsi="Times New Roman" w:cs="Times New Roman"/>
          <w:sz w:val="24"/>
          <w:szCs w:val="24"/>
        </w:rPr>
        <w:t>1934</w:t>
      </w:r>
      <w:r w:rsidR="000968D4">
        <w:rPr>
          <w:rStyle w:val="Refdenotaalpie"/>
          <w:rFonts w:ascii="Times New Roman" w:hAnsi="Times New Roman" w:cs="Times New Roman"/>
          <w:sz w:val="24"/>
          <w:szCs w:val="24"/>
        </w:rPr>
        <w:footnoteReference w:id="1"/>
      </w:r>
      <w:r w:rsidR="00FF0532">
        <w:rPr>
          <w:rFonts w:ascii="Times New Roman" w:hAnsi="Times New Roman" w:cs="Times New Roman"/>
          <w:sz w:val="24"/>
          <w:szCs w:val="24"/>
        </w:rPr>
        <w:t xml:space="preserve">. </w:t>
      </w:r>
    </w:p>
    <w:p w:rsidR="008B7FB2" w:rsidRDefault="008B7FB2" w:rsidP="008B7F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creación del Virreinato del Río de la Plata (1776), es parte constitutiva de las reformas adoptadas por la dinastía Borbónica. Su origen, junto al Virreinato de Nueva Granada (1739), impuso un nuevo ordenamiento político territorial de toda América del Sur con el fin de afianzar los dominios coloniales de la corona española.</w:t>
      </w:r>
    </w:p>
    <w:p w:rsidR="008B7FB2" w:rsidRDefault="008B7FB2" w:rsidP="00FE6A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Superado el movimiento insurreccional en los Andes, el territorio rioplatense fue dividido en intendencias a partir de la Real Ordenanza de Intendentes (1782). La configuración de las intendencias o unidades administrativas fue acompañada de la consolidación de una nueva </w:t>
      </w:r>
      <w:r>
        <w:rPr>
          <w:rFonts w:ascii="Times New Roman" w:hAnsi="Times New Roman" w:cs="Times New Roman"/>
          <w:sz w:val="24"/>
          <w:szCs w:val="24"/>
        </w:rPr>
        <w:lastRenderedPageBreak/>
        <w:t>burocracia de origen peninsular y en algunos casos crio</w:t>
      </w:r>
      <w:r w:rsidR="00DD6414">
        <w:rPr>
          <w:rFonts w:ascii="Times New Roman" w:hAnsi="Times New Roman" w:cs="Times New Roman"/>
          <w:sz w:val="24"/>
          <w:szCs w:val="24"/>
        </w:rPr>
        <w:t>llos (Fradkin y Garavaglia, 2016</w:t>
      </w:r>
      <w:r>
        <w:rPr>
          <w:rFonts w:ascii="Times New Roman" w:hAnsi="Times New Roman" w:cs="Times New Roman"/>
          <w:sz w:val="24"/>
          <w:szCs w:val="24"/>
        </w:rPr>
        <w:t>)</w:t>
      </w:r>
      <w:r w:rsidR="00EF4D9A">
        <w:rPr>
          <w:rFonts w:ascii="Times New Roman" w:hAnsi="Times New Roman" w:cs="Times New Roman"/>
          <w:sz w:val="24"/>
          <w:szCs w:val="24"/>
        </w:rPr>
        <w:t>.</w:t>
      </w:r>
      <w:r>
        <w:rPr>
          <w:rFonts w:ascii="Times New Roman" w:hAnsi="Times New Roman" w:cs="Times New Roman"/>
          <w:sz w:val="24"/>
          <w:szCs w:val="24"/>
        </w:rPr>
        <w:t xml:space="preserve"> El resultado de esta reforma político administrativa es reflejada en el mapa con la delimitación en diferentes colores de las intendencias.</w:t>
      </w:r>
    </w:p>
    <w:p w:rsidR="00914B9D" w:rsidRDefault="007C129F" w:rsidP="00FE6A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términos descriptivos, </w:t>
      </w:r>
      <w:r w:rsidR="00120BD4">
        <w:rPr>
          <w:rFonts w:ascii="Times New Roman" w:hAnsi="Times New Roman" w:cs="Times New Roman"/>
          <w:sz w:val="24"/>
          <w:szCs w:val="24"/>
        </w:rPr>
        <w:t xml:space="preserve">además, </w:t>
      </w:r>
      <w:r w:rsidR="00EF4D9A">
        <w:rPr>
          <w:rFonts w:ascii="Times New Roman" w:hAnsi="Times New Roman" w:cs="Times New Roman"/>
          <w:sz w:val="24"/>
          <w:szCs w:val="24"/>
        </w:rPr>
        <w:t xml:space="preserve">en la cartografía se indican </w:t>
      </w:r>
      <w:r w:rsidR="00C40F2B">
        <w:rPr>
          <w:rFonts w:ascii="Times New Roman" w:hAnsi="Times New Roman" w:cs="Times New Roman"/>
          <w:sz w:val="24"/>
          <w:szCs w:val="24"/>
        </w:rPr>
        <w:t xml:space="preserve">las gobernaciones en diferentes </w:t>
      </w:r>
      <w:r w:rsidR="00EF4D9A">
        <w:rPr>
          <w:rFonts w:ascii="Times New Roman" w:hAnsi="Times New Roman" w:cs="Times New Roman"/>
          <w:sz w:val="24"/>
          <w:szCs w:val="24"/>
        </w:rPr>
        <w:t>tonos</w:t>
      </w:r>
      <w:r w:rsidR="00C40F2B">
        <w:rPr>
          <w:rFonts w:ascii="Times New Roman" w:hAnsi="Times New Roman" w:cs="Times New Roman"/>
          <w:sz w:val="24"/>
          <w:szCs w:val="24"/>
        </w:rPr>
        <w:t xml:space="preserve">; </w:t>
      </w:r>
      <w:r w:rsidR="00616C65">
        <w:rPr>
          <w:rFonts w:ascii="Times New Roman" w:hAnsi="Times New Roman" w:cs="Times New Roman"/>
          <w:sz w:val="24"/>
          <w:szCs w:val="24"/>
        </w:rPr>
        <w:t xml:space="preserve">se </w:t>
      </w:r>
      <w:r w:rsidR="00C40F2B">
        <w:rPr>
          <w:rFonts w:ascii="Times New Roman" w:hAnsi="Times New Roman" w:cs="Times New Roman"/>
          <w:sz w:val="24"/>
          <w:szCs w:val="24"/>
        </w:rPr>
        <w:t>señala capitales, obispados</w:t>
      </w:r>
      <w:r w:rsidR="00DC3D30">
        <w:rPr>
          <w:rFonts w:ascii="Times New Roman" w:hAnsi="Times New Roman" w:cs="Times New Roman"/>
          <w:sz w:val="24"/>
          <w:szCs w:val="24"/>
        </w:rPr>
        <w:t>,</w:t>
      </w:r>
      <w:r w:rsidR="00C40F2B">
        <w:rPr>
          <w:rFonts w:ascii="Times New Roman" w:hAnsi="Times New Roman" w:cs="Times New Roman"/>
          <w:sz w:val="24"/>
          <w:szCs w:val="24"/>
        </w:rPr>
        <w:t xml:space="preserve"> y fortificaciones con distintos símbolos e incluye el trazado de lín</w:t>
      </w:r>
      <w:r w:rsidR="00EF4D9A">
        <w:rPr>
          <w:rFonts w:ascii="Times New Roman" w:hAnsi="Times New Roman" w:cs="Times New Roman"/>
          <w:sz w:val="24"/>
          <w:szCs w:val="24"/>
        </w:rPr>
        <w:t>eas de postas desde la capital del virreinato</w:t>
      </w:r>
      <w:r w:rsidR="00C40F2B">
        <w:rPr>
          <w:rFonts w:ascii="Times New Roman" w:hAnsi="Times New Roman" w:cs="Times New Roman"/>
          <w:sz w:val="24"/>
          <w:szCs w:val="24"/>
        </w:rPr>
        <w:t xml:space="preserve"> hacia el resto del territorio.</w:t>
      </w:r>
      <w:r w:rsidR="00914B9D">
        <w:rPr>
          <w:rFonts w:ascii="Times New Roman" w:hAnsi="Times New Roman" w:cs="Times New Roman"/>
          <w:sz w:val="24"/>
          <w:szCs w:val="24"/>
        </w:rPr>
        <w:t xml:space="preserve"> Para el </w:t>
      </w:r>
      <w:r w:rsidR="0071753B">
        <w:rPr>
          <w:rFonts w:ascii="Times New Roman" w:hAnsi="Times New Roman" w:cs="Times New Roman"/>
          <w:sz w:val="24"/>
          <w:szCs w:val="24"/>
        </w:rPr>
        <w:t xml:space="preserve">caso </w:t>
      </w:r>
      <w:r w:rsidR="007A5750">
        <w:rPr>
          <w:rFonts w:ascii="Times New Roman" w:hAnsi="Times New Roman" w:cs="Times New Roman"/>
          <w:sz w:val="24"/>
          <w:szCs w:val="24"/>
        </w:rPr>
        <w:t>específico</w:t>
      </w:r>
      <w:r w:rsidR="0071753B">
        <w:rPr>
          <w:rFonts w:ascii="Times New Roman" w:hAnsi="Times New Roman" w:cs="Times New Roman"/>
          <w:sz w:val="24"/>
          <w:szCs w:val="24"/>
        </w:rPr>
        <w:t xml:space="preserve"> de </w:t>
      </w:r>
      <w:r w:rsidR="000968D4">
        <w:rPr>
          <w:rFonts w:ascii="Times New Roman" w:hAnsi="Times New Roman" w:cs="Times New Roman"/>
          <w:sz w:val="24"/>
          <w:szCs w:val="24"/>
        </w:rPr>
        <w:t>la ciudad cabe</w:t>
      </w:r>
      <w:r w:rsidR="00EF4D9A">
        <w:rPr>
          <w:rFonts w:ascii="Times New Roman" w:hAnsi="Times New Roman" w:cs="Times New Roman"/>
          <w:sz w:val="24"/>
          <w:szCs w:val="24"/>
        </w:rPr>
        <w:t>ce</w:t>
      </w:r>
      <w:r w:rsidR="000968D4">
        <w:rPr>
          <w:rFonts w:ascii="Times New Roman" w:hAnsi="Times New Roman" w:cs="Times New Roman"/>
          <w:sz w:val="24"/>
          <w:szCs w:val="24"/>
        </w:rPr>
        <w:t xml:space="preserve">ra </w:t>
      </w:r>
      <w:r w:rsidR="00EF4D9A">
        <w:rPr>
          <w:rFonts w:ascii="Times New Roman" w:hAnsi="Times New Roman" w:cs="Times New Roman"/>
          <w:sz w:val="24"/>
          <w:szCs w:val="24"/>
        </w:rPr>
        <w:t xml:space="preserve">de </w:t>
      </w:r>
      <w:r w:rsidR="0071753B">
        <w:rPr>
          <w:rFonts w:ascii="Times New Roman" w:hAnsi="Times New Roman" w:cs="Times New Roman"/>
          <w:sz w:val="24"/>
          <w:szCs w:val="24"/>
        </w:rPr>
        <w:t xml:space="preserve">Buenos Aires, </w:t>
      </w:r>
      <w:r w:rsidR="007A5750">
        <w:rPr>
          <w:rFonts w:ascii="Times New Roman" w:hAnsi="Times New Roman" w:cs="Times New Roman"/>
          <w:sz w:val="24"/>
          <w:szCs w:val="24"/>
        </w:rPr>
        <w:t>además incluye la señalización y representación del</w:t>
      </w:r>
      <w:r w:rsidR="000968D4">
        <w:rPr>
          <w:rFonts w:ascii="Times New Roman" w:hAnsi="Times New Roman" w:cs="Times New Roman"/>
          <w:sz w:val="24"/>
          <w:szCs w:val="24"/>
        </w:rPr>
        <w:t xml:space="preserve"> Cabildo</w:t>
      </w:r>
      <w:r w:rsidR="00120BD4">
        <w:rPr>
          <w:rFonts w:ascii="Times New Roman" w:hAnsi="Times New Roman" w:cs="Times New Roman"/>
          <w:sz w:val="24"/>
          <w:szCs w:val="24"/>
        </w:rPr>
        <w:t>,</w:t>
      </w:r>
      <w:r w:rsidR="007A5750">
        <w:rPr>
          <w:rFonts w:ascii="Times New Roman" w:hAnsi="Times New Roman" w:cs="Times New Roman"/>
          <w:sz w:val="24"/>
          <w:szCs w:val="24"/>
        </w:rPr>
        <w:t xml:space="preserve"> mientras que hacia la otra banda del Río de l</w:t>
      </w:r>
      <w:r w:rsidR="00EF4D9A">
        <w:rPr>
          <w:rFonts w:ascii="Times New Roman" w:hAnsi="Times New Roman" w:cs="Times New Roman"/>
          <w:sz w:val="24"/>
          <w:szCs w:val="24"/>
        </w:rPr>
        <w:t>a Plata, se identifica la urbe</w:t>
      </w:r>
      <w:r w:rsidR="007A5750">
        <w:rPr>
          <w:rFonts w:ascii="Times New Roman" w:hAnsi="Times New Roman" w:cs="Times New Roman"/>
          <w:sz w:val="24"/>
          <w:szCs w:val="24"/>
        </w:rPr>
        <w:t xml:space="preserve"> amurallada de Montevideo. </w:t>
      </w:r>
    </w:p>
    <w:p w:rsidR="00930D0E" w:rsidRDefault="00C40F2B" w:rsidP="00FE6A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a las regiones no conquistadas, </w:t>
      </w:r>
      <w:r w:rsidR="00DC3D30">
        <w:rPr>
          <w:rFonts w:ascii="Times New Roman" w:hAnsi="Times New Roman" w:cs="Times New Roman"/>
          <w:sz w:val="24"/>
          <w:szCs w:val="24"/>
        </w:rPr>
        <w:t xml:space="preserve">estas </w:t>
      </w:r>
      <w:r>
        <w:rPr>
          <w:rFonts w:ascii="Times New Roman" w:hAnsi="Times New Roman" w:cs="Times New Roman"/>
          <w:sz w:val="24"/>
          <w:szCs w:val="24"/>
        </w:rPr>
        <w:t>son delimita</w:t>
      </w:r>
      <w:r w:rsidR="00DC3D30">
        <w:rPr>
          <w:rFonts w:ascii="Times New Roman" w:hAnsi="Times New Roman" w:cs="Times New Roman"/>
          <w:sz w:val="24"/>
          <w:szCs w:val="24"/>
        </w:rPr>
        <w:t>das y tituladas incluyendo una breve descripción</w:t>
      </w:r>
      <w:r>
        <w:rPr>
          <w:rFonts w:ascii="Times New Roman" w:hAnsi="Times New Roman" w:cs="Times New Roman"/>
          <w:sz w:val="24"/>
          <w:szCs w:val="24"/>
        </w:rPr>
        <w:t xml:space="preserve"> de las parcialid</w:t>
      </w:r>
      <w:r w:rsidR="007A6C72">
        <w:rPr>
          <w:rFonts w:ascii="Times New Roman" w:hAnsi="Times New Roman" w:cs="Times New Roman"/>
          <w:sz w:val="24"/>
          <w:szCs w:val="24"/>
        </w:rPr>
        <w:t xml:space="preserve">ades indígenas que habitaban el </w:t>
      </w:r>
      <w:r>
        <w:rPr>
          <w:rFonts w:ascii="Times New Roman" w:hAnsi="Times New Roman" w:cs="Times New Roman"/>
          <w:sz w:val="24"/>
          <w:szCs w:val="24"/>
        </w:rPr>
        <w:t>territorio</w:t>
      </w:r>
      <w:r w:rsidR="007A6C72">
        <w:rPr>
          <w:rFonts w:ascii="Times New Roman" w:hAnsi="Times New Roman" w:cs="Times New Roman"/>
          <w:sz w:val="24"/>
          <w:szCs w:val="24"/>
        </w:rPr>
        <w:t>;</w:t>
      </w:r>
      <w:r>
        <w:rPr>
          <w:rFonts w:ascii="Times New Roman" w:hAnsi="Times New Roman" w:cs="Times New Roman"/>
          <w:sz w:val="24"/>
          <w:szCs w:val="24"/>
        </w:rPr>
        <w:t xml:space="preserve"> por ejemplo la </w:t>
      </w:r>
      <w:r w:rsidR="00120BD4">
        <w:rPr>
          <w:rFonts w:ascii="Times New Roman" w:hAnsi="Times New Roman" w:cs="Times New Roman"/>
          <w:sz w:val="24"/>
          <w:szCs w:val="24"/>
        </w:rPr>
        <w:t>Patagonia</w:t>
      </w:r>
      <w:r>
        <w:rPr>
          <w:rFonts w:ascii="Times New Roman" w:hAnsi="Times New Roman" w:cs="Times New Roman"/>
          <w:sz w:val="24"/>
          <w:szCs w:val="24"/>
        </w:rPr>
        <w:t xml:space="preserve"> es </w:t>
      </w:r>
      <w:r w:rsidR="00DC3D30">
        <w:rPr>
          <w:rFonts w:ascii="Times New Roman" w:hAnsi="Times New Roman" w:cs="Times New Roman"/>
          <w:sz w:val="24"/>
          <w:szCs w:val="24"/>
        </w:rPr>
        <w:t xml:space="preserve">señalada </w:t>
      </w:r>
      <w:r>
        <w:rPr>
          <w:rFonts w:ascii="Times New Roman" w:hAnsi="Times New Roman" w:cs="Times New Roman"/>
          <w:sz w:val="24"/>
          <w:szCs w:val="24"/>
        </w:rPr>
        <w:t xml:space="preserve">como </w:t>
      </w:r>
      <w:r w:rsidR="00FA605B">
        <w:rPr>
          <w:rFonts w:ascii="Times New Roman" w:hAnsi="Times New Roman" w:cs="Times New Roman"/>
          <w:sz w:val="24"/>
          <w:szCs w:val="24"/>
        </w:rPr>
        <w:t xml:space="preserve">la </w:t>
      </w:r>
      <w:r w:rsidR="00FA605B">
        <w:rPr>
          <w:rFonts w:ascii="Times New Roman" w:hAnsi="Times New Roman" w:cs="Times New Roman"/>
          <w:i/>
          <w:sz w:val="24"/>
          <w:szCs w:val="24"/>
        </w:rPr>
        <w:t xml:space="preserve">región por donde vagan las naciones gentiles Aucaes, Puelches, Pehuenches, Patagones y otros </w:t>
      </w:r>
      <w:r>
        <w:rPr>
          <w:rFonts w:ascii="Times New Roman" w:hAnsi="Times New Roman" w:cs="Times New Roman"/>
          <w:sz w:val="24"/>
          <w:szCs w:val="24"/>
        </w:rPr>
        <w:t>e incluye una</w:t>
      </w:r>
      <w:r w:rsidR="000122DA">
        <w:rPr>
          <w:rFonts w:ascii="Times New Roman" w:hAnsi="Times New Roman" w:cs="Times New Roman"/>
          <w:sz w:val="24"/>
          <w:szCs w:val="24"/>
        </w:rPr>
        <w:t xml:space="preserve"> única</w:t>
      </w:r>
      <w:r>
        <w:rPr>
          <w:rFonts w:ascii="Times New Roman" w:hAnsi="Times New Roman" w:cs="Times New Roman"/>
          <w:sz w:val="24"/>
          <w:szCs w:val="24"/>
        </w:rPr>
        <w:t xml:space="preserve"> representación de los indígenas </w:t>
      </w:r>
      <w:r w:rsidR="00616C65">
        <w:rPr>
          <w:rFonts w:ascii="Times New Roman" w:hAnsi="Times New Roman" w:cs="Times New Roman"/>
          <w:sz w:val="24"/>
          <w:szCs w:val="24"/>
        </w:rPr>
        <w:t>nativos</w:t>
      </w:r>
      <w:r w:rsidR="00BF1FF6">
        <w:rPr>
          <w:rFonts w:ascii="Times New Roman" w:hAnsi="Times New Roman" w:cs="Times New Roman"/>
          <w:sz w:val="24"/>
          <w:szCs w:val="24"/>
        </w:rPr>
        <w:t>. Sobre</w:t>
      </w:r>
      <w:r w:rsidR="00616C65">
        <w:rPr>
          <w:rFonts w:ascii="Times New Roman" w:hAnsi="Times New Roman" w:cs="Times New Roman"/>
          <w:sz w:val="24"/>
          <w:szCs w:val="24"/>
        </w:rPr>
        <w:t xml:space="preserve"> este retrato</w:t>
      </w:r>
      <w:r w:rsidR="007A6C72">
        <w:rPr>
          <w:rFonts w:ascii="Times New Roman" w:hAnsi="Times New Roman" w:cs="Times New Roman"/>
          <w:sz w:val="24"/>
          <w:szCs w:val="24"/>
        </w:rPr>
        <w:t>, su tamaño exagerado y desproporcionado, posiblemente se relacione con la</w:t>
      </w:r>
      <w:r w:rsidR="00616C65">
        <w:rPr>
          <w:rFonts w:ascii="Times New Roman" w:hAnsi="Times New Roman" w:cs="Times New Roman"/>
          <w:sz w:val="24"/>
          <w:szCs w:val="24"/>
        </w:rPr>
        <w:t>s</w:t>
      </w:r>
      <w:r w:rsidR="007A6C72">
        <w:rPr>
          <w:rFonts w:ascii="Times New Roman" w:hAnsi="Times New Roman" w:cs="Times New Roman"/>
          <w:sz w:val="24"/>
          <w:szCs w:val="24"/>
        </w:rPr>
        <w:t xml:space="preserve"> </w:t>
      </w:r>
      <w:r w:rsidR="00616C65">
        <w:rPr>
          <w:rFonts w:ascii="Times New Roman" w:hAnsi="Times New Roman" w:cs="Times New Roman"/>
          <w:sz w:val="24"/>
          <w:szCs w:val="24"/>
        </w:rPr>
        <w:t xml:space="preserve">descripciones </w:t>
      </w:r>
      <w:r w:rsidR="00BF1FF6">
        <w:rPr>
          <w:rFonts w:ascii="Times New Roman" w:hAnsi="Times New Roman" w:cs="Times New Roman"/>
          <w:sz w:val="24"/>
          <w:szCs w:val="24"/>
        </w:rPr>
        <w:t>de los primeros cronistas y viajeros que llegaron a esta zona y tuvieron contacto con los pobladores.</w:t>
      </w:r>
      <w:r w:rsidR="00F15F83" w:rsidRPr="00F15F83">
        <w:rPr>
          <w:rFonts w:ascii="Times New Roman" w:hAnsi="Times New Roman" w:cs="Times New Roman"/>
          <w:sz w:val="24"/>
          <w:szCs w:val="24"/>
        </w:rPr>
        <w:t xml:space="preserve"> </w:t>
      </w:r>
      <w:r w:rsidR="00F15F83">
        <w:rPr>
          <w:rFonts w:ascii="Times New Roman" w:hAnsi="Times New Roman" w:cs="Times New Roman"/>
          <w:sz w:val="24"/>
          <w:szCs w:val="24"/>
        </w:rPr>
        <w:t xml:space="preserve">En este sentido, podría pensarse en la influencia de las descripciones efectuadas por Antonio Pigafetta en su diario de viaje, debido a que la característica que destacó de los indígenas de Patagonia era su </w:t>
      </w:r>
      <w:r w:rsidR="00F15F83">
        <w:rPr>
          <w:rFonts w:ascii="Times New Roman" w:hAnsi="Times New Roman" w:cs="Times New Roman"/>
          <w:i/>
          <w:sz w:val="24"/>
          <w:szCs w:val="24"/>
        </w:rPr>
        <w:t xml:space="preserve">estatura gigantesca </w:t>
      </w:r>
      <w:r w:rsidR="00F15F83">
        <w:rPr>
          <w:rFonts w:ascii="Times New Roman" w:hAnsi="Times New Roman" w:cs="Times New Roman"/>
          <w:sz w:val="24"/>
          <w:szCs w:val="24"/>
        </w:rPr>
        <w:t>([1520] 2012).</w:t>
      </w:r>
      <w:r w:rsidR="00616C65">
        <w:rPr>
          <w:rFonts w:ascii="Times New Roman" w:hAnsi="Times New Roman" w:cs="Times New Roman"/>
          <w:sz w:val="24"/>
          <w:szCs w:val="24"/>
        </w:rPr>
        <w:t xml:space="preserve"> Si bien se trata de un mapa elaborado en el siglo XX, su descripción aclara que para su confección se adoptaron los datos históricos </w:t>
      </w:r>
      <w:r w:rsidR="00F15F83">
        <w:rPr>
          <w:rFonts w:ascii="Times New Roman" w:hAnsi="Times New Roman" w:cs="Times New Roman"/>
          <w:sz w:val="24"/>
          <w:szCs w:val="24"/>
        </w:rPr>
        <w:t xml:space="preserve">conocidos para el periodo tardocolonial. </w:t>
      </w:r>
    </w:p>
    <w:p w:rsidR="00F15F83" w:rsidRDefault="00F15F83" w:rsidP="00FE6AD4">
      <w:pPr>
        <w:spacing w:after="0" w:line="360" w:lineRule="auto"/>
        <w:jc w:val="both"/>
        <w:rPr>
          <w:rFonts w:ascii="Times New Roman" w:hAnsi="Times New Roman" w:cs="Times New Roman"/>
          <w:sz w:val="24"/>
          <w:szCs w:val="24"/>
        </w:rPr>
      </w:pPr>
    </w:p>
    <w:p w:rsidR="00120BD4" w:rsidRDefault="00F56841" w:rsidP="00FE6A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Referencias bibliográficas</w:t>
      </w:r>
      <w:r w:rsidR="00F15F83">
        <w:rPr>
          <w:rFonts w:ascii="Times New Roman" w:hAnsi="Times New Roman" w:cs="Times New Roman"/>
          <w:sz w:val="24"/>
          <w:szCs w:val="24"/>
        </w:rPr>
        <w:t>:</w:t>
      </w:r>
    </w:p>
    <w:p w:rsidR="00DD6414" w:rsidRDefault="00DD6414" w:rsidP="00FE6A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 D.A (2007).</w:t>
      </w:r>
      <w:r w:rsidRPr="00DD6414">
        <w:t xml:space="preserve"> </w:t>
      </w:r>
      <w:r w:rsidRPr="00DD6414">
        <w:rPr>
          <w:rFonts w:ascii="Times New Roman" w:hAnsi="Times New Roman" w:cs="Times New Roman"/>
          <w:i/>
          <w:sz w:val="24"/>
          <w:szCs w:val="24"/>
        </w:rPr>
        <w:t>Gran industria y descalificación en la rama gráfica en la Argentina, 1870-1930</w:t>
      </w:r>
      <w:r>
        <w:rPr>
          <w:rFonts w:ascii="Times New Roman" w:hAnsi="Times New Roman" w:cs="Times New Roman"/>
          <w:sz w:val="24"/>
          <w:szCs w:val="24"/>
        </w:rPr>
        <w:t xml:space="preserve"> (Tesis de licenciatura). Facultad de Filosofía y Letras, Universidad de Buenos Aires. Argentina.</w:t>
      </w:r>
    </w:p>
    <w:p w:rsidR="00F15F83" w:rsidRDefault="00F15F83" w:rsidP="00FE6A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Fra</w:t>
      </w:r>
      <w:r w:rsidR="00DD6414">
        <w:rPr>
          <w:rFonts w:ascii="Times New Roman" w:hAnsi="Times New Roman" w:cs="Times New Roman"/>
          <w:sz w:val="24"/>
          <w:szCs w:val="24"/>
        </w:rPr>
        <w:t>dkin, R y Garcavaglia, J.C (2016</w:t>
      </w:r>
      <w:r>
        <w:rPr>
          <w:rFonts w:ascii="Times New Roman" w:hAnsi="Times New Roman" w:cs="Times New Roman"/>
          <w:sz w:val="24"/>
          <w:szCs w:val="24"/>
        </w:rPr>
        <w:t xml:space="preserve">). </w:t>
      </w:r>
      <w:r w:rsidRPr="00DD6414">
        <w:rPr>
          <w:rFonts w:ascii="Times New Roman" w:hAnsi="Times New Roman" w:cs="Times New Roman"/>
          <w:i/>
          <w:sz w:val="24"/>
          <w:szCs w:val="24"/>
        </w:rPr>
        <w:t>La Argentina colonial. El Río de la Plata entre los siglos XVI y XIX</w:t>
      </w:r>
      <w:r>
        <w:rPr>
          <w:rFonts w:ascii="Times New Roman" w:hAnsi="Times New Roman" w:cs="Times New Roman"/>
          <w:sz w:val="24"/>
          <w:szCs w:val="24"/>
        </w:rPr>
        <w:t xml:space="preserve">. </w:t>
      </w:r>
      <w:r w:rsidR="00DD6414">
        <w:rPr>
          <w:rFonts w:ascii="Times New Roman" w:hAnsi="Times New Roman" w:cs="Times New Roman"/>
          <w:sz w:val="24"/>
          <w:szCs w:val="24"/>
        </w:rPr>
        <w:t xml:space="preserve">Buenos Aires: </w:t>
      </w:r>
      <w:r>
        <w:rPr>
          <w:rFonts w:ascii="Times New Roman" w:hAnsi="Times New Roman" w:cs="Times New Roman"/>
          <w:sz w:val="24"/>
          <w:szCs w:val="24"/>
        </w:rPr>
        <w:t>Siglo Veintiuno Editores.</w:t>
      </w:r>
    </w:p>
    <w:p w:rsidR="00F15F83" w:rsidRDefault="00F15F83" w:rsidP="00FE6A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Pigafetta, A. ([1520] 2012). </w:t>
      </w:r>
      <w:r w:rsidRPr="00DD6414">
        <w:rPr>
          <w:rFonts w:ascii="Times New Roman" w:hAnsi="Times New Roman" w:cs="Times New Roman"/>
          <w:i/>
          <w:sz w:val="24"/>
          <w:szCs w:val="24"/>
        </w:rPr>
        <w:t>Primer viaje alrededor del globo</w:t>
      </w:r>
      <w:r>
        <w:rPr>
          <w:rFonts w:ascii="Times New Roman" w:hAnsi="Times New Roman" w:cs="Times New Roman"/>
          <w:sz w:val="24"/>
          <w:szCs w:val="24"/>
        </w:rPr>
        <w:t xml:space="preserve">. </w:t>
      </w:r>
      <w:r w:rsidR="00DD6414">
        <w:rPr>
          <w:rFonts w:ascii="Times New Roman" w:hAnsi="Times New Roman" w:cs="Times New Roman"/>
          <w:sz w:val="24"/>
          <w:szCs w:val="24"/>
        </w:rPr>
        <w:t xml:space="preserve">Sevilla: </w:t>
      </w:r>
      <w:r>
        <w:rPr>
          <w:rFonts w:ascii="Times New Roman" w:hAnsi="Times New Roman" w:cs="Times New Roman"/>
          <w:sz w:val="24"/>
          <w:szCs w:val="24"/>
        </w:rPr>
        <w:t>Fundación Civiliter.</w:t>
      </w:r>
    </w:p>
    <w:p w:rsidR="00F15F83" w:rsidRDefault="00F15F83" w:rsidP="00FE6AD4">
      <w:pPr>
        <w:spacing w:after="0" w:line="360" w:lineRule="auto"/>
        <w:jc w:val="both"/>
        <w:rPr>
          <w:rFonts w:ascii="Times New Roman" w:hAnsi="Times New Roman" w:cs="Times New Roman"/>
          <w:sz w:val="24"/>
          <w:szCs w:val="24"/>
        </w:rPr>
      </w:pPr>
    </w:p>
    <w:p w:rsidR="00F15F83" w:rsidRDefault="00F15F83" w:rsidP="00FE6AD4">
      <w:pPr>
        <w:spacing w:after="0" w:line="360" w:lineRule="auto"/>
        <w:jc w:val="both"/>
        <w:rPr>
          <w:rFonts w:ascii="Times New Roman" w:hAnsi="Times New Roman" w:cs="Times New Roman"/>
          <w:sz w:val="24"/>
          <w:szCs w:val="24"/>
        </w:rPr>
      </w:pPr>
    </w:p>
    <w:p w:rsidR="00F15F83" w:rsidRPr="008B7FB2" w:rsidRDefault="00F15F83" w:rsidP="00FE6AD4">
      <w:pPr>
        <w:spacing w:after="0" w:line="360" w:lineRule="auto"/>
        <w:jc w:val="both"/>
        <w:rPr>
          <w:rFonts w:ascii="Times New Roman" w:hAnsi="Times New Roman" w:cs="Times New Roman"/>
          <w:sz w:val="24"/>
          <w:szCs w:val="24"/>
        </w:rPr>
      </w:pPr>
    </w:p>
    <w:sectPr w:rsidR="00F15F83" w:rsidRPr="008B7FB2" w:rsidSect="00FE6AD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615" w:rsidRDefault="00F42615" w:rsidP="000968D4">
      <w:pPr>
        <w:spacing w:after="0" w:line="240" w:lineRule="auto"/>
      </w:pPr>
      <w:r>
        <w:separator/>
      </w:r>
    </w:p>
  </w:endnote>
  <w:endnote w:type="continuationSeparator" w:id="0">
    <w:p w:rsidR="00F42615" w:rsidRDefault="00F42615" w:rsidP="00096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615" w:rsidRDefault="00F42615" w:rsidP="000968D4">
      <w:pPr>
        <w:spacing w:after="0" w:line="240" w:lineRule="auto"/>
      </w:pPr>
      <w:r>
        <w:separator/>
      </w:r>
    </w:p>
  </w:footnote>
  <w:footnote w:type="continuationSeparator" w:id="0">
    <w:p w:rsidR="00F42615" w:rsidRDefault="00F42615" w:rsidP="000968D4">
      <w:pPr>
        <w:spacing w:after="0" w:line="240" w:lineRule="auto"/>
      </w:pPr>
      <w:r>
        <w:continuationSeparator/>
      </w:r>
    </w:p>
  </w:footnote>
  <w:footnote w:id="1">
    <w:p w:rsidR="000968D4" w:rsidRDefault="000968D4">
      <w:pPr>
        <w:pStyle w:val="Textonotapie"/>
      </w:pPr>
      <w:r>
        <w:rPr>
          <w:rStyle w:val="Refdenotaalpie"/>
        </w:rPr>
        <w:footnoteRef/>
      </w:r>
      <w:r>
        <w:t xml:space="preserve"> </w:t>
      </w:r>
      <w:r w:rsidRPr="000968D4">
        <w:t>Su funcionamiento data del año 1907 y se lo considera uno de los principales establecimientos dedicados a la impresión (Bil, 2007).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E6AD4"/>
    <w:rsid w:val="000122DA"/>
    <w:rsid w:val="000639EE"/>
    <w:rsid w:val="000968D4"/>
    <w:rsid w:val="00120BD4"/>
    <w:rsid w:val="00285EF1"/>
    <w:rsid w:val="0044484E"/>
    <w:rsid w:val="00462E98"/>
    <w:rsid w:val="00616C65"/>
    <w:rsid w:val="006F3487"/>
    <w:rsid w:val="0071753B"/>
    <w:rsid w:val="007A5750"/>
    <w:rsid w:val="007A6C72"/>
    <w:rsid w:val="007C129F"/>
    <w:rsid w:val="00863A22"/>
    <w:rsid w:val="008B7FB2"/>
    <w:rsid w:val="00914B9D"/>
    <w:rsid w:val="00930D0E"/>
    <w:rsid w:val="00B86D16"/>
    <w:rsid w:val="00BF1FF6"/>
    <w:rsid w:val="00BF56BC"/>
    <w:rsid w:val="00C32120"/>
    <w:rsid w:val="00C40F2B"/>
    <w:rsid w:val="00CB3C92"/>
    <w:rsid w:val="00D43EB6"/>
    <w:rsid w:val="00D45D34"/>
    <w:rsid w:val="00DC3D30"/>
    <w:rsid w:val="00DD6414"/>
    <w:rsid w:val="00EF4D9A"/>
    <w:rsid w:val="00F15F83"/>
    <w:rsid w:val="00F42615"/>
    <w:rsid w:val="00F56841"/>
    <w:rsid w:val="00F91950"/>
    <w:rsid w:val="00FA605B"/>
    <w:rsid w:val="00FE6AD4"/>
    <w:rsid w:val="00FF05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4E"/>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39EE"/>
    <w:rPr>
      <w:color w:val="0000FF" w:themeColor="hyperlink"/>
      <w:u w:val="single"/>
    </w:rPr>
  </w:style>
  <w:style w:type="character" w:styleId="Hipervnculovisitado">
    <w:name w:val="FollowedHyperlink"/>
    <w:basedOn w:val="Fuentedeprrafopredeter"/>
    <w:uiPriority w:val="99"/>
    <w:semiHidden/>
    <w:unhideWhenUsed/>
    <w:rsid w:val="000639EE"/>
    <w:rPr>
      <w:color w:val="800080" w:themeColor="followedHyperlink"/>
      <w:u w:val="single"/>
    </w:rPr>
  </w:style>
  <w:style w:type="paragraph" w:styleId="Textonotapie">
    <w:name w:val="footnote text"/>
    <w:basedOn w:val="Normal"/>
    <w:link w:val="TextonotapieCar"/>
    <w:uiPriority w:val="99"/>
    <w:semiHidden/>
    <w:unhideWhenUsed/>
    <w:rsid w:val="000968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68D4"/>
    <w:rPr>
      <w:sz w:val="20"/>
      <w:szCs w:val="20"/>
    </w:rPr>
  </w:style>
  <w:style w:type="character" w:styleId="Refdenotaalpie">
    <w:name w:val="footnote reference"/>
    <w:basedOn w:val="Fuentedeprrafopredeter"/>
    <w:uiPriority w:val="99"/>
    <w:semiHidden/>
    <w:unhideWhenUsed/>
    <w:rsid w:val="000968D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talogo.bn.gov.ar/exlibris1/apache_media/Q5LRTHYHQ74NHTF41DPBAX9STPMVV9.jpg" TargetMode="External"/><Relationship Id="rId3" Type="http://schemas.openxmlformats.org/officeDocument/2006/relationships/settings" Target="settings.xml"/><Relationship Id="rId7" Type="http://schemas.openxmlformats.org/officeDocument/2006/relationships/hyperlink" Target="https://catalogo.bn.gov.ar/exlibris1/apache_media/Q5LRTHYHQ74NHTF41DPBAX9STPMVV9.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o.bn.gov.ar/exlibris1/apache_media/Q5LRTHYHQ74NHTF41DPBAX9STPMVV9.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1E225-8693-46F0-9650-121BD827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Pages>
  <Words>712</Words>
  <Characters>3917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dc:creator>
  <cp:lastModifiedBy>Yesi</cp:lastModifiedBy>
  <cp:revision>9</cp:revision>
  <dcterms:created xsi:type="dcterms:W3CDTF">2020-11-13T22:06:00Z</dcterms:created>
  <dcterms:modified xsi:type="dcterms:W3CDTF">2020-11-16T17:34:00Z</dcterms:modified>
</cp:coreProperties>
</file>